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B" w:rsidRDefault="007C4C5B" w:rsidP="007C4C5B">
      <w:pPr>
        <w:spacing w:after="0" w:line="0" w:lineRule="atLeast"/>
        <w:jc w:val="left"/>
        <w:rPr>
          <w:sz w:val="28"/>
          <w:szCs w:val="28"/>
        </w:rPr>
      </w:pPr>
    </w:p>
    <w:p w:rsidR="007C4C5B" w:rsidRDefault="007C4C5B" w:rsidP="007C4C5B">
      <w:pPr>
        <w:spacing w:after="0" w:line="0" w:lineRule="atLeast"/>
        <w:jc w:val="left"/>
        <w:rPr>
          <w:sz w:val="28"/>
          <w:szCs w:val="28"/>
        </w:rPr>
      </w:pPr>
    </w:p>
    <w:p w:rsidR="007C4C5B" w:rsidRDefault="007C4C5B" w:rsidP="007C4C5B">
      <w:pPr>
        <w:spacing w:after="0" w:line="0" w:lineRule="atLeast"/>
        <w:jc w:val="left"/>
        <w:rPr>
          <w:sz w:val="28"/>
          <w:szCs w:val="28"/>
        </w:rPr>
      </w:pPr>
    </w:p>
    <w:p w:rsidR="007C4C5B" w:rsidRDefault="007C4C5B" w:rsidP="007C4C5B">
      <w:pPr>
        <w:spacing w:after="0" w:line="0" w:lineRule="atLeast"/>
        <w:jc w:val="left"/>
        <w:rPr>
          <w:sz w:val="28"/>
          <w:szCs w:val="28"/>
        </w:rPr>
      </w:pPr>
    </w:p>
    <w:p w:rsidR="007C4C5B" w:rsidRDefault="007C4C5B" w:rsidP="007C4C5B">
      <w:pPr>
        <w:spacing w:after="0" w:line="0" w:lineRule="atLeast"/>
        <w:jc w:val="left"/>
        <w:rPr>
          <w:sz w:val="28"/>
          <w:szCs w:val="28"/>
        </w:rPr>
      </w:pPr>
    </w:p>
    <w:p w:rsidR="007C4C5B" w:rsidRPr="007C4C5B" w:rsidRDefault="007C4C5B" w:rsidP="007C4C5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b/>
          <w:bCs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5pt;height:125.6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C4C5B" w:rsidRDefault="007C4C5B" w:rsidP="007C4C5B">
                  <w:pPr>
                    <w:rPr>
                      <w:sz w:val="28"/>
                      <w:szCs w:val="28"/>
                    </w:rPr>
                  </w:pPr>
                </w:p>
                <w:p w:rsidR="007C4C5B" w:rsidRDefault="007C4C5B" w:rsidP="007C4C5B">
                  <w:pPr>
                    <w:rPr>
                      <w:sz w:val="28"/>
                      <w:szCs w:val="28"/>
                    </w:rPr>
                  </w:pPr>
                </w:p>
                <w:p w:rsidR="007C4C5B" w:rsidRDefault="007C4C5B" w:rsidP="007C4C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C4C5B" w:rsidRDefault="007C4C5B" w:rsidP="007C4C5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7C4C5B" w:rsidRDefault="007C4C5B" w:rsidP="007C4C5B">
      <w:pPr>
        <w:spacing w:line="192" w:lineRule="auto"/>
        <w:ind w:right="5387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 xml:space="preserve">              Майское</w:t>
      </w:r>
    </w:p>
    <w:p w:rsidR="007C4C5B" w:rsidRDefault="007C4C5B" w:rsidP="007C4C5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7C4C5B" w:rsidRDefault="007C4C5B" w:rsidP="007C4C5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sz w:val="28"/>
        </w:rPr>
        <w:t>Пестравский</w:t>
      </w:r>
      <w:proofErr w:type="spellEnd"/>
    </w:p>
    <w:p w:rsidR="007C4C5B" w:rsidRDefault="007C4C5B" w:rsidP="007C4C5B">
      <w:pPr>
        <w:spacing w:line="192" w:lineRule="auto"/>
        <w:ind w:right="5387"/>
        <w:rPr>
          <w:rFonts w:ascii="Times New Roman" w:hAnsi="Times New Roman"/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7C4C5B" w:rsidRDefault="007C4C5B" w:rsidP="007C4C5B">
      <w:pPr>
        <w:ind w:left="720" w:right="5386" w:firstLine="720"/>
        <w:rPr>
          <w:sz w:val="18"/>
        </w:rPr>
      </w:pPr>
    </w:p>
    <w:p w:rsidR="007C4C5B" w:rsidRDefault="007C4C5B" w:rsidP="007C4C5B">
      <w:pPr>
        <w:rPr>
          <w:sz w:val="24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7C4C5B" w:rsidRDefault="007C4C5B" w:rsidP="007C4C5B">
      <w:pPr>
        <w:rPr>
          <w:rFonts w:ascii="Palatino Linotype" w:hAnsi="Palatino Linotype" w:cs="Palatino Linotype"/>
          <w:bCs/>
          <w:caps/>
        </w:rPr>
      </w:pPr>
      <w:r>
        <w:t xml:space="preserve">        19 декабря 2013 года                </w:t>
      </w:r>
    </w:p>
    <w:p w:rsidR="007C4C5B" w:rsidRDefault="007C4C5B" w:rsidP="007C4C5B">
      <w:pPr>
        <w:rPr>
          <w:rFonts w:ascii="Times New Roman" w:hAnsi="Times New Roman"/>
          <w:b/>
          <w:bCs/>
        </w:rPr>
      </w:pPr>
      <w:r>
        <w:rPr>
          <w:rFonts w:ascii="Palatino Linotype" w:hAnsi="Palatino Linotype" w:cs="Palatino Linotype"/>
          <w:bCs/>
          <w:caps/>
        </w:rPr>
        <w:t xml:space="preserve">     </w:t>
      </w:r>
      <w:r>
        <w:rPr>
          <w:sz w:val="28"/>
        </w:rPr>
        <w:t xml:space="preserve"> №</w:t>
      </w:r>
      <w:r>
        <w:t xml:space="preserve">  129                </w:t>
      </w: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42"/>
        <w:gridCol w:w="4534"/>
      </w:tblGrid>
      <w:tr w:rsidR="007C4C5B" w:rsidTr="007C4C5B">
        <w:trPr>
          <w:trHeight w:val="3563"/>
        </w:trPr>
        <w:tc>
          <w:tcPr>
            <w:tcW w:w="5142" w:type="dxa"/>
          </w:tcPr>
          <w:p w:rsidR="007C4C5B" w:rsidRDefault="007C4C5B">
            <w:pPr>
              <w:rPr>
                <w:rFonts w:eastAsia="Andale Sans UI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Об утверждении Порядка предоставления субсидий  из бюджета сельского поселения Майское муниципального района </w:t>
            </w:r>
            <w:proofErr w:type="spellStart"/>
            <w:r>
              <w:rPr>
                <w:b/>
                <w:sz w:val="24"/>
                <w:szCs w:val="24"/>
              </w:rPr>
              <w:t>Пестравский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Самарской области юридическим лицам (за исключением субсидий государственным (муниципальным) учреждениям),                                          индивидуальным предпринимателям, физическим лицам – производителям товаров, работ, услуг </w:t>
            </w:r>
            <w:r>
              <w:rPr>
                <w:b/>
                <w:bCs/>
                <w:sz w:val="24"/>
                <w:szCs w:val="24"/>
              </w:rPr>
              <w:t>в целях возмещения затрат или недополученных доходов,  возникающих в связи с оказанием населению услуг водоснабжения и водоотведения по тарифам, не обеспечивающим возмещение издержек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7C4C5B" w:rsidRDefault="007C4C5B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534" w:type="dxa"/>
          </w:tcPr>
          <w:p w:rsidR="007C4C5B" w:rsidRDefault="007C4C5B">
            <w:pPr>
              <w:pStyle w:val="a6"/>
              <w:snapToGrid w:val="0"/>
              <w:jc w:val="both"/>
            </w:pPr>
          </w:p>
        </w:tc>
      </w:tr>
    </w:tbl>
    <w:p w:rsidR="007C4C5B" w:rsidRDefault="007C4C5B" w:rsidP="007C4C5B">
      <w:r>
        <w:t>В соответствии со "статьей 78" Бюджетного кодекса Российской Федерации</w:t>
      </w:r>
    </w:p>
    <w:p w:rsidR="007C4C5B" w:rsidRDefault="007C4C5B" w:rsidP="007C4C5B"/>
    <w:p w:rsidR="007C4C5B" w:rsidRDefault="007C4C5B" w:rsidP="007C4C5B">
      <w:r>
        <w:tab/>
      </w:r>
      <w:r>
        <w:rPr>
          <w:b/>
          <w:bCs/>
        </w:rPr>
        <w:t>ПОСТАНОВЛЯЮ:</w:t>
      </w:r>
    </w:p>
    <w:p w:rsidR="007C4C5B" w:rsidRDefault="007C4C5B" w:rsidP="007C4C5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</w:t>
      </w:r>
      <w:proofErr w:type="gramStart"/>
      <w:r>
        <w:t xml:space="preserve">Утвердить Порядок предоставления субсидий  из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>
        <w:rPr>
          <w:bCs/>
        </w:rPr>
        <w:t>в целях возмещения затрат или недополученных доходов,  возникающих в связи с оказанием населению услуг водоснабжения и водоотведения по тарифам, не обеспечивающим возмещение издержек (Приложение № 1)</w:t>
      </w:r>
      <w:r>
        <w:t>.</w:t>
      </w:r>
      <w:proofErr w:type="gramEnd"/>
    </w:p>
    <w:p w:rsidR="007C4C5B" w:rsidRDefault="007C4C5B" w:rsidP="007C4C5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lastRenderedPageBreak/>
        <w:t>Постановление вступает в силу на следующий день после официального  опубликования (обнародования).</w:t>
      </w:r>
    </w:p>
    <w:p w:rsidR="007C4C5B" w:rsidRDefault="007C4C5B" w:rsidP="007C4C5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Опубликовать настоящее решение в газете «Степь» и разместить на официальном интернет-сайте администрации сельского поселения Майское.</w:t>
      </w:r>
    </w:p>
    <w:p w:rsidR="007C4C5B" w:rsidRDefault="007C4C5B" w:rsidP="007C4C5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4C5B" w:rsidRDefault="007C4C5B" w:rsidP="007C4C5B">
      <w:pPr>
        <w:ind w:left="-360"/>
      </w:pPr>
    </w:p>
    <w:p w:rsidR="007C4C5B" w:rsidRDefault="007C4C5B" w:rsidP="007C4C5B">
      <w:pPr>
        <w:ind w:left="-360"/>
      </w:pPr>
    </w:p>
    <w:p w:rsidR="007C4C5B" w:rsidRDefault="007C4C5B" w:rsidP="007C4C5B"/>
    <w:p w:rsidR="007C4C5B" w:rsidRDefault="007C4C5B" w:rsidP="007C4C5B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7C4C5B" w:rsidRDefault="007C4C5B" w:rsidP="007C4C5B"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7C4C5B" w:rsidRDefault="007C4C5B" w:rsidP="007C4C5B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7C4C5B" w:rsidRDefault="007C4C5B" w:rsidP="007C4C5B">
      <w:r>
        <w:t xml:space="preserve">Самарской области  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/>
    <w:p w:rsidR="007C4C5B" w:rsidRDefault="007C4C5B" w:rsidP="007C4C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Майское</w:t>
      </w:r>
      <w:proofErr w:type="gramEnd"/>
      <w:r>
        <w:rPr>
          <w:rFonts w:ascii="Times New Roman" w:hAnsi="Times New Roman" w:cs="Times New Roman"/>
        </w:rPr>
        <w:t xml:space="preserve">  муниципального  района  </w:t>
      </w:r>
      <w:proofErr w:type="spellStart"/>
      <w:r>
        <w:rPr>
          <w:rFonts w:ascii="Times New Roman" w:hAnsi="Times New Roman" w:cs="Times New Roman"/>
        </w:rPr>
        <w:t>Пестравский</w:t>
      </w:r>
      <w:proofErr w:type="spellEnd"/>
    </w:p>
    <w:p w:rsidR="007C4C5B" w:rsidRDefault="007C4C5B" w:rsidP="007C4C5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Самарской  области от 19 декабря 2013г.  N _129</w:t>
      </w: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C4C5B" w:rsidRDefault="007C4C5B" w:rsidP="007C4C5B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</w:rPr>
        <w:t xml:space="preserve">предоставления субсидий из бюджета сельского поселения Майское муниципального района </w:t>
      </w:r>
      <w:proofErr w:type="spellStart"/>
      <w:r>
        <w:rPr>
          <w:bCs/>
        </w:rPr>
        <w:t>Пестравский</w:t>
      </w:r>
      <w:proofErr w:type="spellEnd"/>
      <w:r>
        <w:rPr>
          <w:bCs/>
        </w:rPr>
        <w:t xml:space="preserve"> Самарской области юридическим лицам (за исключением субсидий государственным (муниципальным) учреждениям),  индивидуальным предпринимателям, а также  физическим лицам - производителям товаров, работ, услуг  в целях возмещения затрат или недополученных доходов,  возникающих в связи с оказанием населению услуг водоснабжения и водоотведения по тарифам, не обеспечивающим возмещение издержек.</w:t>
      </w:r>
      <w:proofErr w:type="gramEnd"/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(далее - Порядок) разработан в соответствии со </w:t>
      </w:r>
      <w:hyperlink r:id="rId5" w:tooltip="&quot;Бюджетный кодекс Российской Федерации&quot; от 31.07.1998 N 145-ФЗ (ред. от 07.05.2013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устанавливает механизм предоставления субсидий из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 сельское поселение Майское)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hAnsi="Times New Roman"/>
          <w:bCs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лицам - производителям товаров, работ, услуг в целях возмещения затрат или  недополученных доходов, возникающих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оказанием населению услуг водоснабжения и водоотведения по тарифам, не обеспечивающим возмещение издержек  (далее - Субсидии).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термины: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Уполномоченная организация - главный распорядитель и  получатель бюджетных средств – администрация сельского поселения Майское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Самарской  области;</w:t>
      </w:r>
      <w:proofErr w:type="gramEnd"/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Субсидий - это изменение размера Субсидий в большую или меньшую сторону в зависимости от фактических показателей в соответствии с предоставляемыми получателем Субсидий отчетами.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предоставляются на безвозмездной и безвозвратной основе в соответствии со сводной бюджетной росписью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пределах лимитов бюджетных обязательств по предоставлению Субсидий на указанные цели.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в рамках настоящего Порядка является администрация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Самарской  области.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возмещения затрат или недополученных доходов, возникающих в связи с пересмотром размера подлежащей внесению платы граждан за коммунальные услуги в соответствии с установленными предельными индексами изменения размера платы граждан за коммунальные услуги, а также с оказанием населению услуг, водоснабжения и водоотведения по тарифам (стоимости), не обеспечивающим возмещение издержек. </w:t>
      </w:r>
      <w:proofErr w:type="gramEnd"/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по следующим направлениям: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затрат или недополученных доходов, возникающих при предоставлении гражданам услуг водоснабжения и водоотведения по тарифам, не обеспечивающим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издержек, согласно </w:t>
      </w:r>
      <w:hyperlink r:id="rId6" w:anchor="Par563#Par56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расчетам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приложению N 2 к настоящему Порядку;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Получателями Субсидий в соответствии с настоящим Порядком являются юридические лица (за исключением государственных (муниципальных) учреждений), индивидуальные предприниматели, </w:t>
      </w:r>
      <w:r>
        <w:rPr>
          <w:rFonts w:ascii="Times New Roman" w:hAnsi="Times New Roman"/>
          <w:bCs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 - производители работ, услуг, имеющие затраты или недополученные доходы, возникающие в связи с оказанием населению услуг водоснабжения и водоотведения (далее - Получатели субсидий).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Критериями отбора Получателей Субсидий в соответствии с настоящим Порядком являются: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населению услуг  водоснабжения и водоотведения;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затрат или недополученных доходов у Получателей Субсидий, определенных в соответствии с расчетами по приложениям согласно </w:t>
      </w:r>
      <w:hyperlink r:id="rId7" w:anchor="Par57#Par5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пункту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Предоставление Субсидий осуществляется при условии наличия договора на предоставление Субсидий из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возмещение затрат или недополученных доходов, возникающих в связи с оказанием населению услуг водоснабжения и водоотведения по тарифам, не обеспечивающим возмещение издержек, заключенного между Получателем субсидий и Уполномоченной организацией.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принятия решения о сумме Субсидий на возмещение затрат или недополученных доходов, Получатели Субсидий ежеквартально представляют Уполномоченной организации документ из налогового органа, подтверждающий факт обращения с отказом от освобождения операций по реализации услуг, водоснабжения и водоотведения от налогообложения в соответствии с Налоговым </w:t>
      </w:r>
      <w:hyperlink r:id="rId8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sz w:val="24"/>
          <w:szCs w:val="24"/>
        </w:rPr>
        <w:t>9. Для заключения договора на предоставление Субсидий Получателям Субсидий необходимо представить в Уполномоченную организацию: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о предоставлении Субсидии;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заверенную руководителем организации копию Устава;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заверенную руководителем организации копию свидетельства о регистрации Получателя Субсидии;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ЕГРЮЛ либо ЕГРИП;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Субсидий по форме согласно </w:t>
      </w:r>
      <w:hyperlink r:id="rId9" w:anchor="Par231#Par23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к настоящему Порядку;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имени руководителя организации (в случае заключения договора лицом, не уполномоченным заключать договор от лица организации), заверенную в установленном порядке;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полноту и достоверность представляемой информации.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Уполномоченная организация регистрирует обращение о предоставлении Субсидий не позднее одного рабочего дня со дня его поступления и в течение пятнадцати дней со дня регистрации осуществляет проверку документов на их соответствие требованиям </w:t>
      </w:r>
      <w:hyperlink r:id="rId10" w:anchor="Par72#Par7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Уполномоченная организация принимает решение и в течение пяти дней с этого момента в письменной форме уведомляет Получателя Субсидии: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заключении договора на предоставление Субсидий и направляет Получателю Субсидии проект договора на подпись;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предоставление Субсидий.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на предоставление Субсидии являются: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несоответствие получателя требованиям пункта 1 и 6 настоящего порядка;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или недостаточность или использование не в полном объеме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определенных решением о бюджете на очередной финансовый год и плановый период;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документа предусмотренного пунктом 8 настоящего порядка.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предоставление Субсидии являются: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неполного пакета документов, предусмотренных </w:t>
      </w:r>
      <w:hyperlink r:id="rId11" w:anchor="Par72#Par7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ошибки в расчетах суммы Субсидий;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Субсидии перечисляются Получателю Субсидий по следующей схеме: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- октябре текущего финансового года ежемесячно на основании отчетов, предусмотренных </w:t>
      </w:r>
      <w:hyperlink r:id="rId12" w:anchor="Par127#Par12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приложением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Порядку, в течение 20 дней после их предоставления Уполномоченной организации в пределах сумм, предусмотренных графиком оплаты;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- декабре ежемесячно в соответствии с графиком оплаты согласно договору на предоставление Субсидий.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Получатели Субсидий представляют Уполномоченной организации отчеты и информацию по перечню, формам согласно </w:t>
      </w:r>
      <w:hyperlink r:id="rId13" w:anchor="Par127#Par12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приложениям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2  к настоящему Порядку.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Уполномоченная организация производит корректировку размера Субсидий при условии выделения средств из бюджета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указанные цели в очередном финансовом году в следующем порядке: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производится и оформляется дополнительным соглашением к договору в течение десяти рабочих дней с момента представления Получателем субсидий отчетов за 10 месяцев текущего года по форме согласно Приложению №3 к настоящему Порядку.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 итогам работы за текущий финансовый год по Субсидиям, предоставляемым в соответствии с настоящим Порядком, производится в 1 квартале очередного финансового года в течение десяти рабочих дней с момента представления Получателем Субсидий отчетов по итогам отчетного года по формам согласно </w:t>
      </w:r>
      <w:hyperlink r:id="rId14" w:anchor="Par231#Par23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приложениям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к настоящему Порядку.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корректировки за год составляется акт сверки расчетов, результаты которого учитываются при расчете размера Субсидий в очередном финансовом году.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Получатели Субсидий обеспечивают целевой характер использования Субсидий. Нецелевое использование денежных средств, влечет применение мер ответственности, предусмотренных действующим законодательством.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выявления нарушений условий предоставления Субсидий, установленных  настоящим Порядком и условий, предусмотренных договором на предоставление Субсидий, Уполномоченной организацией или органом, уполномоченным проверять правильность расходования бюджетных средств, Уполномоченная организация в течение пяти дней с момента обнаружения нарушения направляет Получателю Субсидий требование о возврате Субсидии или ее части в письменной форме.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субсидий в месячный срок со дня получения письменного требования о возврате Субсидии или ее части, обеспечивает их возврат в бюджет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возврата Субсидии или ее части в установленные сроки взыскание производится в соответствии с требованиями действующего законодательства.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Настоящий Порядок не предусматривает возврат остатков Субсидий Получателем субсидий, не использованных в текущем финансовом году, поскольку Субсидии по настоящему Порядку предоставляются по факту понесенных затрат Получателем Субсидий в связи с оказанием населению услуг водоснабжения и водоотведения по тарифам, не обеспечивающим возмещение издержек.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Главный распорядитель бюджетных средств и органы муниципального финансового контроля, осуществляют обязательную проверку соблюдения условий, целей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порядка предоставления Субсидий Получателем Субсидий. Получатель Субсидий дает согласие на осуществление Главным распорядителем бюджетных средств и органом муниципального финансового контроля проверять правильность расходования бюджетных средств, соблюдения условий, целей и порядка предоставления Субсидий.  </w:t>
      </w: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C4C5B" w:rsidRDefault="007C4C5B" w:rsidP="007C4C5B">
      <w:pPr>
        <w:jc w:val="right"/>
        <w:rPr>
          <w:rFonts w:ascii="Times New Roman" w:hAnsi="Times New Roman"/>
          <w:bCs/>
          <w:sz w:val="24"/>
          <w:szCs w:val="24"/>
        </w:rPr>
      </w:pPr>
      <w:r>
        <w:t xml:space="preserve">к порядку </w:t>
      </w:r>
      <w:r>
        <w:rPr>
          <w:bCs/>
        </w:rPr>
        <w:t xml:space="preserve">предоставления субсидий из бюджета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Майское</w:t>
      </w:r>
      <w:proofErr w:type="gramEnd"/>
      <w:r>
        <w:rPr>
          <w:bCs/>
        </w:rPr>
        <w:t xml:space="preserve">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Пестравский</w:t>
      </w:r>
      <w:proofErr w:type="spellEnd"/>
      <w:r>
        <w:rPr>
          <w:bCs/>
        </w:rPr>
        <w:t xml:space="preserve"> Самарской области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юридическим лицам (за исключением субсидий </w:t>
      </w:r>
      <w:proofErr w:type="gramEnd"/>
    </w:p>
    <w:p w:rsidR="007C4C5B" w:rsidRDefault="007C4C5B" w:rsidP="007C4C5B">
      <w:pPr>
        <w:jc w:val="right"/>
        <w:rPr>
          <w:bCs/>
        </w:rPr>
      </w:pPr>
      <w:r>
        <w:rPr>
          <w:bCs/>
        </w:rPr>
        <w:t>государственным (муниципальным) учреждениям),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 индивидуальным предпринимателям,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а также  физическим лицам - производителям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товаров, работ, услуг  в целях возмещения затрат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или недополученных доходов,  возникающих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>в связи с оказанием населению услуг водоснабжения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и водоотведения по тарифам, </w:t>
      </w:r>
    </w:p>
    <w:p w:rsidR="007C4C5B" w:rsidRDefault="007C4C5B" w:rsidP="007C4C5B">
      <w:pPr>
        <w:jc w:val="right"/>
      </w:pPr>
      <w:r>
        <w:rPr>
          <w:bCs/>
        </w:rPr>
        <w:t xml:space="preserve">не </w:t>
      </w:r>
      <w:proofErr w:type="gramStart"/>
      <w:r>
        <w:rPr>
          <w:bCs/>
        </w:rPr>
        <w:t>обеспечивающим</w:t>
      </w:r>
      <w:proofErr w:type="gramEnd"/>
      <w:r>
        <w:rPr>
          <w:bCs/>
        </w:rPr>
        <w:t xml:space="preserve"> возмещение издержек.</w:t>
      </w: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7"/>
      <w:bookmarkEnd w:id="2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ПРЕДСТАВЛЯЕМОЙ ПОЛУЧАТЕЛЯМИ СУБСИДИЙ</w:t>
      </w: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924"/>
        <w:gridCol w:w="2423"/>
        <w:gridCol w:w="2402"/>
      </w:tblGrid>
      <w:tr w:rsidR="007C4C5B" w:rsidTr="007C4C5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представления</w:t>
            </w:r>
          </w:p>
        </w:tc>
      </w:tr>
      <w:tr w:rsidR="007C4C5B" w:rsidTr="007C4C5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возмещения недополученных доходов возникающих при предоставлении гражданам услуг водоснабжения и водоотведения по тарифам, не обеспечивающим возмещение издержек (приложение №2)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ежемесячно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C4C5B" w:rsidTr="007C4C5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статистического отчета «Сведения о работе жилищно-коммунальных организаций в условиях реформы» Форма №22-ЖКХ (сводная)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5B" w:rsidRDefault="007C4C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30-й день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C4C5B" w:rsidRDefault="007C4C5B" w:rsidP="007C4C5B">
      <w:pPr>
        <w:jc w:val="right"/>
        <w:rPr>
          <w:rFonts w:ascii="Times New Roman" w:hAnsi="Times New Roman"/>
          <w:bCs/>
          <w:sz w:val="24"/>
          <w:szCs w:val="24"/>
        </w:rPr>
      </w:pPr>
      <w:r>
        <w:t xml:space="preserve">к порядку </w:t>
      </w:r>
      <w:r>
        <w:rPr>
          <w:bCs/>
        </w:rPr>
        <w:t xml:space="preserve">предоставления субсидий из бюджета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Майское</w:t>
      </w:r>
      <w:proofErr w:type="gramEnd"/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Пестравский</w:t>
      </w:r>
      <w:proofErr w:type="spellEnd"/>
      <w:r>
        <w:rPr>
          <w:bCs/>
        </w:rPr>
        <w:t xml:space="preserve"> Самарской области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юридическим лицам (за исключением субсидий </w:t>
      </w:r>
      <w:proofErr w:type="gramEnd"/>
    </w:p>
    <w:p w:rsidR="007C4C5B" w:rsidRDefault="007C4C5B" w:rsidP="007C4C5B">
      <w:pPr>
        <w:jc w:val="right"/>
        <w:rPr>
          <w:bCs/>
        </w:rPr>
      </w:pPr>
      <w:r>
        <w:rPr>
          <w:bCs/>
        </w:rPr>
        <w:t>государственным (муниципальным) учреждениям),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 индивидуальным предпринимателям,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а также  физическим лицам - производителям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товаров, работ, услуг  в целях возмещения затрат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или недополученных доходов,  возникающих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>в связи с оказанием населению услуг водоснабжения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и водоотведения по тарифам, </w:t>
      </w:r>
    </w:p>
    <w:p w:rsidR="007C4C5B" w:rsidRDefault="007C4C5B" w:rsidP="007C4C5B">
      <w:pPr>
        <w:jc w:val="right"/>
      </w:pPr>
      <w:r>
        <w:rPr>
          <w:bCs/>
        </w:rPr>
        <w:t xml:space="preserve">не </w:t>
      </w:r>
      <w:proofErr w:type="gramStart"/>
      <w:r>
        <w:rPr>
          <w:bCs/>
        </w:rPr>
        <w:t>обеспечивающим</w:t>
      </w:r>
      <w:proofErr w:type="gramEnd"/>
      <w:r>
        <w:rPr>
          <w:bCs/>
        </w:rPr>
        <w:t xml:space="preserve"> возмещение издержек.</w:t>
      </w: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3"/>
      <w:bookmarkEnd w:id="3"/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СУММЫ НЕДОПОЛУЧЕННЫХ ДОХОДОВ, ВОЗНИКАЮЩИХ ПРИ ПРЕДОСТАВЛЕНИИ ГРАЖДАНАМ УСЛУГ ВОДОСНАБЖЕНИЯ И ВОДООТВЕДЕНИЯ ПО ТАРИФАМ, НЕ ОБЕСПЕЧИВАЮЩИМ ВОЗМЕЩЕНИЕ ИЗДЕРЖЕК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850"/>
        <w:gridCol w:w="950"/>
        <w:gridCol w:w="840"/>
        <w:gridCol w:w="720"/>
        <w:gridCol w:w="892"/>
        <w:gridCol w:w="908"/>
        <w:gridCol w:w="935"/>
        <w:gridCol w:w="992"/>
        <w:gridCol w:w="833"/>
        <w:gridCol w:w="720"/>
      </w:tblGrid>
      <w:tr w:rsidR="007C4C5B" w:rsidTr="007C4C5B">
        <w:trPr>
          <w:trHeight w:val="2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Месяцы года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Предъявлено поставщиком по </w:t>
            </w:r>
            <w:r>
              <w:br/>
              <w:t xml:space="preserve">    данным счетов-фактур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jc w:val="center"/>
              <w:rPr>
                <w:kern w:val="0"/>
              </w:rPr>
            </w:pPr>
            <w:r>
              <w:t xml:space="preserve">Начисление    </w:t>
            </w:r>
            <w:r>
              <w:br/>
              <w:t xml:space="preserve">   гражданам на   </w:t>
            </w:r>
            <w:r>
              <w:br/>
              <w:t xml:space="preserve">  предъявленные   </w:t>
            </w:r>
            <w:r>
              <w:br/>
              <w:t>поставщиком объемы</w:t>
            </w:r>
            <w:r>
              <w:br/>
              <w:t xml:space="preserve">  по предельным   </w:t>
            </w:r>
            <w:r>
              <w:br/>
              <w:t xml:space="preserve">    тарифам на    </w:t>
            </w:r>
            <w:r>
              <w:br/>
              <w:t xml:space="preserve">   коммунальные   </w:t>
            </w:r>
            <w:r>
              <w:br/>
              <w:t xml:space="preserve">     услуги,      </w:t>
            </w:r>
            <w:r>
              <w:br/>
              <w:t xml:space="preserve">  установленные   </w:t>
            </w:r>
            <w:r>
              <w:br/>
              <w:t xml:space="preserve"> органом местного </w:t>
            </w:r>
            <w:r>
              <w:br/>
              <w:t>самоуправления для</w:t>
            </w:r>
            <w:r>
              <w:br/>
              <w:t xml:space="preserve">     граждан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Сумма  недополученных доходов</w:t>
            </w:r>
          </w:p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(гр. 6  - гр. 9)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График оплаты</w:t>
            </w:r>
          </w:p>
        </w:tc>
      </w:tr>
      <w:tr w:rsidR="007C4C5B" w:rsidTr="007C4C5B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  <w:t xml:space="preserve">снабжение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  <w:t xml:space="preserve">отведение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rPr>
                <w:kern w:val="0"/>
              </w:rPr>
            </w:pPr>
            <w:r>
              <w:t xml:space="preserve">Общая  сумма предъявления </w:t>
            </w:r>
          </w:p>
          <w:p w:rsidR="007C4C5B" w:rsidRDefault="007C4C5B">
            <w:pPr>
              <w:pStyle w:val="ConsPlusCell"/>
              <w:ind w:left="113" w:right="113"/>
              <w:rPr>
                <w:kern w:val="0"/>
              </w:rPr>
            </w:pPr>
            <w:r>
              <w:t xml:space="preserve">(гр. 2  </w:t>
            </w:r>
            <w:proofErr w:type="spellStart"/>
            <w:r>
              <w:t>x</w:t>
            </w:r>
            <w:proofErr w:type="spellEnd"/>
            <w:r>
              <w:t xml:space="preserve"> гр. 3)  + (р. 4  </w:t>
            </w:r>
            <w:proofErr w:type="spellStart"/>
            <w:r>
              <w:t>x</w:t>
            </w:r>
            <w:proofErr w:type="spellEnd"/>
            <w:r>
              <w:t xml:space="preserve"> гр. 5)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 xml:space="preserve">Предельный тариф для граждан по водоснабжению с НДС за 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Предельный тариф для граждан  по водоотведению с НДС за 1 куб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 xml:space="preserve">Общая  сумма, начисленная  </w:t>
            </w:r>
            <w:r>
              <w:br/>
              <w:t xml:space="preserve">гражданам (гр. 2  </w:t>
            </w:r>
            <w:proofErr w:type="spellStart"/>
            <w:r>
              <w:t>x</w:t>
            </w:r>
            <w:proofErr w:type="spellEnd"/>
            <w:r>
              <w:t xml:space="preserve"> гр. 7)  +  </w:t>
            </w:r>
            <w:r>
              <w:br/>
              <w:t xml:space="preserve">(гр. 4  </w:t>
            </w:r>
            <w:proofErr w:type="spellStart"/>
            <w:r>
              <w:t>x</w:t>
            </w:r>
            <w:proofErr w:type="spellEnd"/>
            <w:r>
              <w:t xml:space="preserve"> гр. 8)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4C5B" w:rsidTr="007C4C5B">
        <w:trPr>
          <w:cantSplit/>
          <w:trHeight w:val="2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Объем  воды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Тариф поставщика с НДС</w:t>
            </w:r>
          </w:p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 xml:space="preserve">за 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  <w:highlight w:val="yellow"/>
              </w:rPr>
            </w:pPr>
            <w:r>
              <w:t>Объем стоков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</w:rPr>
            </w:pPr>
            <w:r>
              <w:t>Тариф поставщика</w:t>
            </w:r>
          </w:p>
          <w:p w:rsidR="007C4C5B" w:rsidRDefault="007C4C5B">
            <w:pPr>
              <w:pStyle w:val="ConsPlusCell"/>
              <w:ind w:left="113" w:right="113"/>
              <w:jc w:val="center"/>
              <w:rPr>
                <w:kern w:val="0"/>
                <w:highlight w:val="yellow"/>
              </w:rPr>
            </w:pPr>
            <w:r>
              <w:t>с НДС за 1куб. м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5B" w:rsidRDefault="007C4C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>куб.</w:t>
            </w:r>
            <w:r>
              <w:br/>
              <w:t xml:space="preserve"> м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куб. </w:t>
            </w:r>
            <w:r>
              <w:br/>
              <w:t xml:space="preserve">  м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>руб.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руб.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руб.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руб.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руб.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руб.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>руб.</w:t>
            </w: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    1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2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5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6  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7 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9  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10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11 </w:t>
            </w:r>
          </w:p>
        </w:tc>
      </w:tr>
      <w:tr w:rsidR="007C4C5B" w:rsidTr="007C4C5B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Сальдо на    </w:t>
            </w:r>
            <w:r>
              <w:br/>
              <w:t xml:space="preserve">начало       </w:t>
            </w:r>
            <w:r>
              <w:br/>
              <w:t xml:space="preserve">финансового  </w:t>
            </w:r>
            <w:r>
              <w:br/>
              <w:t xml:space="preserve">года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январь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февраль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март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Итого 1      </w:t>
            </w:r>
            <w: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апрель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май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июнь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Итого 2      </w:t>
            </w:r>
            <w: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июль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август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сентябрь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Итого 3      </w:t>
            </w:r>
            <w: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октябрь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ноябрь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lastRenderedPageBreak/>
              <w:t xml:space="preserve">декабрь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Итого 4      </w:t>
            </w:r>
            <w:r>
              <w:br/>
              <w:t xml:space="preserve">квартал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  Итого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  <w:tr w:rsidR="007C4C5B" w:rsidTr="007C4C5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5B" w:rsidRDefault="007C4C5B">
            <w:pPr>
              <w:pStyle w:val="ConsPlusCell"/>
              <w:rPr>
                <w:kern w:val="0"/>
              </w:rPr>
            </w:pPr>
            <w:r>
              <w:t xml:space="preserve">ВСЕГО, с     </w:t>
            </w:r>
            <w:r>
              <w:br/>
              <w:t>учетом сальдо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B" w:rsidRDefault="007C4C5B">
            <w:pPr>
              <w:pStyle w:val="ConsPlusCell"/>
              <w:rPr>
                <w:kern w:val="0"/>
              </w:rPr>
            </w:pPr>
          </w:p>
        </w:tc>
      </w:tr>
    </w:tbl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Расчет по форме данного приложения используется при условии освобождения операций по реализации услуг по водоснабжению и водоотведению от налогообложения налогом на добавленную стоимость в соответствии с </w:t>
      </w:r>
      <w:hyperlink r:id="rId15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 29 п. 3 ст.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 у Получателя субсидий.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Получателя субсидий от освобождения операций по реализации услуг по водоснабжению и водоотведению в соответствии с </w:t>
      </w:r>
      <w:hyperlink r:id="rId16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 ст.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 от налогообложения налогом на добавленную стоимость, предусмотренных </w:t>
      </w:r>
      <w:hyperlink r:id="rId17" w:tooltip="&quot;Налоговый кодекс Российской Федерации (часть вторая)&quot; от 05.08.2000 N 117-ФЗ (ред. от 07.05.2013) (с изм. и доп., вступающими в силу с 01.07.2013)------------ Недействующая редакция{КонсультантПлюс}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 29 п. 3 ст.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РФ, в графах 3, 5, 7, 8 данного приложения тариф и предельная стоимость услуг принимаются без НДС.</w:t>
      </w:r>
      <w:proofErr w:type="gramEnd"/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заполняются в целом на год (отчетные месяцы - по фактическим показателям, планируемые месяцы - по плановым (прогнозным) показателям).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Корректировка осуществляется в целом за текущий финансовый год в 1 квартале очередного финансового года при условии выделения средств из бюджета муниципального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указанные цели в очередном финансовом году.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гр. 3 и гр. 5 указываются тарифы, установленные в соответствии с действующим законодательством.</w:t>
      </w:r>
    </w:p>
    <w:p w:rsidR="007C4C5B" w:rsidRDefault="007C4C5B" w:rsidP="007C4C5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____________________________________</w:t>
      </w:r>
    </w:p>
    <w:p w:rsidR="007C4C5B" w:rsidRDefault="007C4C5B" w:rsidP="007C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(расшифровка подписи)</w:t>
      </w:r>
    </w:p>
    <w:p w:rsidR="007C4C5B" w:rsidRDefault="007C4C5B" w:rsidP="007C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____________________________________</w:t>
      </w:r>
    </w:p>
    <w:p w:rsidR="007C4C5B" w:rsidRDefault="007C4C5B" w:rsidP="007C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(расшифровка подписи)</w:t>
      </w: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rPr>
          <w:lang w:eastAsia="fa-IR" w:bidi="fa-IR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C4C5B" w:rsidRDefault="007C4C5B" w:rsidP="007C4C5B">
      <w:pPr>
        <w:jc w:val="right"/>
        <w:rPr>
          <w:rFonts w:ascii="Times New Roman" w:hAnsi="Times New Roman"/>
          <w:bCs/>
          <w:sz w:val="24"/>
          <w:szCs w:val="24"/>
        </w:rPr>
      </w:pPr>
      <w:r>
        <w:t xml:space="preserve">к порядку </w:t>
      </w:r>
      <w:r>
        <w:rPr>
          <w:bCs/>
        </w:rPr>
        <w:t xml:space="preserve">предоставления субсидий из бюджета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сельского поселения </w:t>
      </w:r>
      <w:proofErr w:type="gramStart"/>
      <w:r>
        <w:rPr>
          <w:bCs/>
        </w:rPr>
        <w:t>Майское</w:t>
      </w:r>
      <w:proofErr w:type="gramEnd"/>
      <w:r>
        <w:rPr>
          <w:bCs/>
        </w:rPr>
        <w:t xml:space="preserve">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Пестравский</w:t>
      </w:r>
      <w:proofErr w:type="spellEnd"/>
      <w:r>
        <w:rPr>
          <w:bCs/>
        </w:rPr>
        <w:t xml:space="preserve"> Самарской области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юридическим лицам (за исключением субсидий </w:t>
      </w:r>
      <w:proofErr w:type="gramEnd"/>
    </w:p>
    <w:p w:rsidR="007C4C5B" w:rsidRDefault="007C4C5B" w:rsidP="007C4C5B">
      <w:pPr>
        <w:jc w:val="right"/>
        <w:rPr>
          <w:bCs/>
        </w:rPr>
      </w:pPr>
      <w:r>
        <w:rPr>
          <w:bCs/>
        </w:rPr>
        <w:t>государственным (муниципальным) учреждениям),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 индивидуальным предпринимателям,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а также  физическим лицам - производителям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товаров, работ, услуг  в целях возмещения затрат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или недополученных доходов,  возникающих 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>в связи с оказанием населению услуг водоснабжения</w:t>
      </w:r>
    </w:p>
    <w:p w:rsidR="007C4C5B" w:rsidRDefault="007C4C5B" w:rsidP="007C4C5B">
      <w:pPr>
        <w:jc w:val="right"/>
        <w:rPr>
          <w:bCs/>
        </w:rPr>
      </w:pPr>
      <w:r>
        <w:rPr>
          <w:bCs/>
        </w:rPr>
        <w:t xml:space="preserve"> и водоотведения по тарифам, </w:t>
      </w:r>
    </w:p>
    <w:p w:rsidR="007C4C5B" w:rsidRDefault="007C4C5B" w:rsidP="007C4C5B">
      <w:pPr>
        <w:jc w:val="right"/>
      </w:pPr>
      <w:r>
        <w:rPr>
          <w:bCs/>
        </w:rPr>
        <w:t xml:space="preserve">не </w:t>
      </w:r>
      <w:proofErr w:type="gramStart"/>
      <w:r>
        <w:rPr>
          <w:bCs/>
        </w:rPr>
        <w:t>обеспечивающим</w:t>
      </w:r>
      <w:proofErr w:type="gramEnd"/>
      <w:r>
        <w:rPr>
          <w:bCs/>
        </w:rPr>
        <w:t xml:space="preserve"> возмещение издержек.</w:t>
      </w:r>
    </w:p>
    <w:p w:rsidR="007C4C5B" w:rsidRDefault="007C4C5B" w:rsidP="007C4C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610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ПРЕДОСТАВЛЕНИЕ СУБСИДИЙ ИЗ БЮДЖЕТА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ПЕСТРАВСКИЙ НА ВОЗМЕЩЕНИЕ ЗАТРАТ ИЛИ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НЕДОПОЛУЧЕННЫХ ДОХОДОВ, ВОЗНИКАЮЩИХ В СВЯЗИ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ОКАЗАНИЕМ НАСЕЛЕНИЮ УСЛУГ, ВОДОСНАБЖЕНИЯ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ВОДООТВЕДЕНИЯ ПО ТАРИФАМ, НЕ ОБЕСПЕЧИВАЮЩИМ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ВОЗМЕЩЕНИЕ ИЗДЕРЖЕК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айское                                                                                           "__" ________ 20__ г.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Майское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"Уполномоченная организация", в лице главы сельского поселения, действующего на основании Положения, с одной стороны, и ___________________________________________________, именуемая в дальнейшем "Получатель субсидий", в лице ________________________________________, действующего на основании Устава, с другой стороны, вместе именуемые "Стороны", в соответствии с постановлением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 области от «__19_» ___декабря______2013___г</w:t>
      </w:r>
      <w:proofErr w:type="gramEnd"/>
      <w:r>
        <w:rPr>
          <w:rFonts w:ascii="Times New Roman" w:hAnsi="Times New Roman" w:cs="Times New Roman"/>
          <w:sz w:val="24"/>
          <w:szCs w:val="24"/>
        </w:rPr>
        <w:t>.  N129  заключили настоящий Договор о нижеследующем: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предоставление из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субсидий на возмещение затрат или  недополученных доходов, возникающих в связи с оказанием населению услуг, водоснабжения и водоотведения по тарифам (ценам), не обеспечивающим возмещение издержек (далее - Субсидии), "Получателю Субсидий" в порядке и на условиях, определенных постановлением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__19 декабря 2013 N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129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из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юридическим лицам (за исключением субсидий государственным (муниципальным) учреждениям),  индивидуальным предпринимателям,  </w:t>
      </w:r>
      <w:r>
        <w:rPr>
          <w:rFonts w:ascii="Times New Roman" w:hAnsi="Times New Roman"/>
          <w:bCs/>
          <w:sz w:val="24"/>
          <w:szCs w:val="24"/>
        </w:rPr>
        <w:t xml:space="preserve">а также  </w:t>
      </w:r>
      <w:r>
        <w:rPr>
          <w:rFonts w:ascii="Times New Roman" w:hAnsi="Times New Roman" w:cs="Times New Roman"/>
          <w:bCs/>
          <w:sz w:val="24"/>
          <w:szCs w:val="24"/>
        </w:rPr>
        <w:t>физическим лицам-производителям товаров, работ, услуг  в целях возмещения затрат или недополученных доходов,  возникающих в связи с оказанием населению услуг водоснабжения и водоотведения по тарифам, не обеспечивающим возмещение издержек».</w:t>
      </w:r>
      <w:bookmarkStart w:id="5" w:name="Par1627"/>
      <w:bookmarkEnd w:id="5"/>
      <w:proofErr w:type="gramEnd"/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В соответствии с настоящим Договором "Уполномоченная организация" предоставляет "Получателю субсидий" Субсидии на возмещение затрат или недополученных доходов, возникающих при предоставлении гражданам услуг водоснабжения и водоотведения по тарифам, не обеспечивающим возмещение издержек.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"Уполномоченная организация" имеет право: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40"/>
      <w:bookmarkEnd w:id="6"/>
      <w:r>
        <w:rPr>
          <w:rFonts w:ascii="Times New Roman" w:hAnsi="Times New Roman" w:cs="Times New Roman"/>
          <w:sz w:val="24"/>
          <w:szCs w:val="24"/>
        </w:rPr>
        <w:t>2.1.1. Получать от "Получателя субсидий" расчеты, необходимые для определения размера Субсидии.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41"/>
      <w:bookmarkEnd w:id="7"/>
      <w:r>
        <w:rPr>
          <w:rFonts w:ascii="Times New Roman" w:hAnsi="Times New Roman" w:cs="Times New Roman"/>
          <w:sz w:val="24"/>
          <w:szCs w:val="24"/>
        </w:rPr>
        <w:t>2.1.2. Прекращать перечисление Субсидий в случае невыполнения "Получателем субсидий" условий настоящего Договора, в том числе в случае непредставления "Получателем субсидий" необходимой отчетности и информации, предусмотренной Порядком предоставления Субсидий, и возобновлять финансирование не позднее 10 дней после устранения "Получателем субсидий" всех нарушений и предоставления отчетности, но за период, не превышающий трех месяцев.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"Получатель субсидий" имеет право: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Получать от "Уполномоченной организации" разъяснения по вопросам исполнения настоящего Договора.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ОБЯЗАННОСТИ СТОРОН</w:t>
      </w:r>
    </w:p>
    <w:p w:rsidR="007C4C5B" w:rsidRDefault="007C4C5B" w:rsidP="007C4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"Уполномоченная организация" обязана: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Проверять представленные "Получателем субсидий" в соответствии с </w:t>
      </w:r>
      <w:hyperlink r:id="rId18" w:anchor="Par1640#Par164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расчеты.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Перечислять "Получателю субсидий" Субсидии в порядке и на условиях, предусмотренных настоящим Договором.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Перечислять названные в </w:t>
      </w:r>
      <w:hyperlink r:id="rId19" w:anchor="Par1627#Par162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Субсидии при соблюдении "Получателем субсидий" требований </w:t>
      </w:r>
      <w:hyperlink r:id="rId20" w:anchor="Par1652#Par165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Письменно уведомлять "Получателя субсидий" о прекращении перечисления Субсидий по причинам, указанным в </w:t>
      </w:r>
      <w:hyperlink r:id="rId21" w:anchor="Par1641#Par164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2.1.2</w:t>
        </w:r>
      </w:hyperlink>
      <w:r>
        <w:rPr>
          <w:rFonts w:ascii="Times New Roman" w:hAnsi="Times New Roman" w:cs="Times New Roman"/>
          <w:sz w:val="24"/>
          <w:szCs w:val="24"/>
        </w:rPr>
        <w:t>, и возобновлять перечисление после устранения нарушений.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52"/>
      <w:bookmarkEnd w:id="8"/>
      <w:r>
        <w:rPr>
          <w:rFonts w:ascii="Times New Roman" w:hAnsi="Times New Roman" w:cs="Times New Roman"/>
          <w:sz w:val="24"/>
          <w:szCs w:val="24"/>
        </w:rPr>
        <w:t>3.2. "Получатель субсидий" обязан: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1653"/>
      <w:bookmarkEnd w:id="9"/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"Получатель субсидий" при осуществлении деятельности в рамках настоящего Договора обязан соблюдать требования постановления администрации 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19.12.2013 года  N____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из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юридическим лицам (за исключением субсидий государственным (муниципальным) учреждениям),  индивидуальным предпринимателям,  </w:t>
      </w:r>
      <w:r>
        <w:rPr>
          <w:rFonts w:ascii="Times New Roman" w:hAnsi="Times New Roman"/>
          <w:bCs/>
          <w:sz w:val="24"/>
          <w:szCs w:val="24"/>
        </w:rPr>
        <w:t xml:space="preserve">а также  </w:t>
      </w:r>
      <w:r>
        <w:rPr>
          <w:rFonts w:ascii="Times New Roman" w:hAnsi="Times New Roman" w:cs="Times New Roman"/>
          <w:bCs/>
          <w:sz w:val="24"/>
          <w:szCs w:val="24"/>
        </w:rPr>
        <w:t>физическим лицам-производителям товаров, работ, услуг  в целях возмещения затрат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или недополученных доходов,  возникающих в связи с оказанием населению услуг водоснабжения и водоотведения по тарифам, не обеспечивающим возмещение издержек</w:t>
      </w:r>
      <w:bookmarkStart w:id="10" w:name="Par1655"/>
      <w:bookmarkEnd w:id="1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установленные сроки представлять: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"Уполномоченной организации" - отчетность по перечню и формам, установленным постановлением, указанным в </w:t>
      </w:r>
      <w:hyperlink r:id="rId22" w:anchor="Par1653#Par165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3.2.1</w:t>
        </w:r>
      </w:hyperlink>
      <w:r>
        <w:rPr>
          <w:rFonts w:ascii="Times New Roman" w:hAnsi="Times New Roman" w:cs="Times New Roman"/>
          <w:sz w:val="24"/>
          <w:szCs w:val="24"/>
        </w:rPr>
        <w:t>, и иную информацию по запросам "Уполномоченной организации" в сроки, определенные запросом, а также расчеты, необходимые для определения размера Субсидии.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Обеспечить целевое использование получаемых в соответствии с настоящим Договором Субсидий.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РАСЧЕТЫ ПО ДОГОВОРУ</w:t>
      </w: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61"/>
      <w:bookmarkEnd w:id="11"/>
      <w:r>
        <w:rPr>
          <w:rFonts w:ascii="Times New Roman" w:hAnsi="Times New Roman" w:cs="Times New Roman"/>
          <w:sz w:val="24"/>
          <w:szCs w:val="24"/>
        </w:rPr>
        <w:t xml:space="preserve">4.1.  Размер  субсидий  на  20__ г. по настоящему Договору определен на основании  расчета,  являющегося  неотъемлемой  частью настоящего Договора,  составляет ___________. Субсидии  выплачиваются  с  учетом  исполнения обязательств по договору N_______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  согласно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сверки и составляют ____________ в  год.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Перечисление  субсидий производится "Уполномоченной организацией" по следующей схеме: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январе  -  октябре текущего финансового года ежемесячно на основании отчетов,  предусмотренных  </w:t>
      </w:r>
      <w:hyperlink r:id="rId23" w:anchor="Par1655#Par165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 3.2.3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20 дней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их представления "Уполномоченной организации";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ноябре  -  декабре  ежемесячно  в  соответствии  с  графиком  оплаты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настоящему Договору.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субсидий производится: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возмещение  недополученных  доходов, возникающих при предоставлении гражданам услуг водоснабжения и водоотведения по тарифам, не обеспечивающим возмещение издержек, согласно приложению N ___;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"Получатель субсидий" ежемесячно до 15-го числа месяца, следующего за  расчетным,  предоставляет  "Уполномоченной  организации" расчет (отчет) возмещения   недополученных   доходов   по   жилищно-коммунальным  услугам, произведенный   по   фактическим   данным,   с  приложением  подтверждающих документов.</w:t>
      </w:r>
      <w:proofErr w:type="gramEnd"/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 При  обнаружении одной из Сторон настоящего Договора или органом, уполномоченным   проверять  правильность  расходования  бюджетных  средств, ошибок  в  расчетах  сумма, подлежащая перечислению в соответствии с </w:t>
      </w:r>
      <w:hyperlink r:id="rId24" w:anchor="Par1661#Par166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 Договора,  подлежит уточнению в квартале, следующем за отчетным кварталом.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 Корректировка   размера   субсидий   производится   по   срокам, установленным Порядком предоставления субсидий.</w:t>
      </w:r>
    </w:p>
    <w:p w:rsidR="007C4C5B" w:rsidRDefault="007C4C5B" w:rsidP="007C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В  случае  установления  факта  излишне  начисленных  субсидий  в результате  корректировок  расчетов  в  целом  за год "Получатель субсидий" обеспечивает их возврат в месячный срок со дня получения от "Уполномоченной организации" письменного требования.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выявления "Уполномоченной организацией" или органом, уполномоченным проверять правильность расходования бюджетных средств, нарушений требований установленного Порядка предоставления субсидий и невыполнения условий настоящего Договора "Уполномоченная организация" в течение пяти дней с момента обнаружения нарушения направляет в письменной форме "Получателю субсидий" требование о возврате субсидии.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"Получатель субсидий" в месячный срок со дня получения письменного требования о возврате субсидий обеспечивает их возврат в бюджет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установления факта нарушения условий настоящего Договора, а также условий, установленных при предоставлении субсидий, "Получатель субсидий" возвращает полученные субсидии в месячный срок со дня получения от "Уполномоченной организации" письменного требования о возврате субсидий.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соответствии с </w:t>
      </w:r>
      <w:hyperlink r:id="rId25" w:tooltip="&quot;Гражданский кодекс Российской Федерации (часть первая)&quot; от 30.11.1994 N 51-ФЗ (ред. от 28.06.2013) (с изм. и доп., вступающими в силу с 01.07.2013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2 ст. 425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ГК РФ условия настоящего Договора применяются к отношениям между Сторонами Договора, возникшим до заключения договора, а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обеими Сторонами и действует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обоюдному согласию Сторон или в судебном порядке;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"Получателя субсидий" или выбора собственниками помещений многоквартирного дома (домов) иного способа управления многоквартирным домом (домами);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выбора собственниками помещений многоквартирного дома иной управляющей организации.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Несоблюдение "Получателем субсидий" условий настоящего Договора в течение 6 месяцев (в том числе в случае непредставления отчетности за два квартала) является основанием для расторжения настоящего Договора.</w:t>
      </w:r>
    </w:p>
    <w:p w:rsidR="007C4C5B" w:rsidRDefault="007C4C5B" w:rsidP="007C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Любые изменения в настоящий Договор вносятся только дополнительным соглашением Сторон, заключивших настоящий Договор, которое будет являться его неотъемлемой частью. Изменения в условия Договора, связанные с изменением цен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жилищные услуги и тарифов на коммунальные услуги, применяемых при определении размера субсидий, а также с выявлением ошибок в расчетах, могут вноситься "Уполномоченной организацией" в одностороннем порядке с обязательным письменным уведомлением "Получателя субсидий" и последующим заключением в установленном порядке дополнительного соглашения.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дополнен по письменному соглашению Сторон.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заключен в двух экземплярах: один хранится у "Получателя субсидий", второй - у "Уполномоченной организации".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экземпляр имеет равную юридическую силу.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приложения к настоящему Договору являются его неотъемлемой частью.</w:t>
      </w:r>
    </w:p>
    <w:p w:rsidR="007C4C5B" w:rsidRDefault="007C4C5B" w:rsidP="007C4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7C4C5B" w:rsidRDefault="007C4C5B" w:rsidP="007C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C5B" w:rsidRDefault="007C4C5B" w:rsidP="007C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"Уполномоченная организация"                         "Получатель субсидий"</w:t>
      </w:r>
    </w:p>
    <w:p w:rsidR="00C2464C" w:rsidRDefault="00C2464C"/>
    <w:sectPr w:rsidR="00C2464C" w:rsidSect="00C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D6E"/>
    <w:multiLevelType w:val="hybridMultilevel"/>
    <w:tmpl w:val="925432C4"/>
    <w:lvl w:ilvl="0" w:tplc="02609C9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5B"/>
    <w:rsid w:val="007C4C5B"/>
    <w:rsid w:val="00C2464C"/>
    <w:rsid w:val="00D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4C5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7C4C5B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C4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next w:val="a"/>
    <w:rsid w:val="007C4C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a6">
    <w:name w:val="Содержимое таблицы"/>
    <w:basedOn w:val="a"/>
    <w:rsid w:val="007C4C5B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7C4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C4C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9C5C61D0A59982693642A49F79A4197C7D0A725D75881CBD9E4BF061B4CAC3A7F98203193XDQ9K" TargetMode="External"/><Relationship Id="rId13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8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7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2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7" Type="http://schemas.openxmlformats.org/officeDocument/2006/relationships/hyperlink" Target="consultantplus://offline/ref=4689C5C61D0A59982693642A49F79A4197C7D0A725D75881CBD9E4BF061B4CAC3A7F98203693XDQ2K" TargetMode="External"/><Relationship Id="rId25" Type="http://schemas.openxmlformats.org/officeDocument/2006/relationships/hyperlink" Target="consultantplus://offline/ref=4689C5C61D0A59982693642A49F79A4197C7D3A527D75881CBD9E4BF061B4CAC3A7F98243691D171X3Q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89C5C61D0A59982693642A49F79A4197C7D0A725D75881CBD9E4BF061B4CAC3A7F98203193XDQ9K" TargetMode="External"/><Relationship Id="rId20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1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24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5" Type="http://schemas.openxmlformats.org/officeDocument/2006/relationships/hyperlink" Target="consultantplus://offline/ref=4689C5C61D0A59982693642A49F79A4197C7D7A628DC5881CBD9E4BF061B4CAC3A7F98243293XDQ9K" TargetMode="External"/><Relationship Id="rId15" Type="http://schemas.openxmlformats.org/officeDocument/2006/relationships/hyperlink" Target="consultantplus://offline/ref=4689C5C61D0A59982693642A49F79A4197C7D0A725D75881CBD9E4BF061B4CAC3A7F98203693XDQ2K" TargetMode="External"/><Relationship Id="rId23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0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9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14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22" Type="http://schemas.openxmlformats.org/officeDocument/2006/relationships/hyperlink" Target="file:///C:\Documents%20and%20Settings\Admin\&#1052;&#1086;&#1080;%20&#1076;&#1086;&#1082;&#1091;&#1084;&#1077;&#1085;&#1090;&#1099;\&#1056;&#1072;&#1079;&#1085;&#1086;&#1077;\&#1055;&#1054;&#1056;&#1071;&#1044;&#1054;&#1050;%20&#1055;&#1056;&#1045;&#1044;&#1054;&#1057;&#1058;&#1040;&#1042;&#1051;&#1045;&#1053;&#1048;&#1071;%20&#1057;&#1059;&#1041;&#1057;&#1048;&#1044;&#1048;&#1049;%20&#1048;&#1047;%20&#1041;&#1070;&#1044;&#1046;&#1045;&#1058;&#1040;%20&#1052;&#1059;&#1055;%20&#1046;&#1050;&#1061;%20&#1053;&#1040;%202013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4826</Words>
  <Characters>27512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2013-12-23T11:03:00Z</dcterms:created>
  <dcterms:modified xsi:type="dcterms:W3CDTF">2013-12-23T11:03:00Z</dcterms:modified>
</cp:coreProperties>
</file>